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نام خدا </w:t>
      </w: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عنوان: </w:t>
      </w:r>
    </w:p>
    <w:p w:rsidR="00FF6A1B" w:rsidRPr="005A5429" w:rsidRDefault="00FF6A1B" w:rsidP="00FF6A1B">
      <w:pPr>
        <w:bidi/>
        <w:jc w:val="center"/>
        <w:rPr>
          <w:rFonts w:cs="B Titr"/>
          <w:b/>
          <w:bCs/>
          <w:sz w:val="90"/>
          <w:szCs w:val="90"/>
          <w:rtl/>
          <w:lang w:bidi="fa-IR"/>
        </w:rPr>
      </w:pPr>
      <w:r>
        <w:rPr>
          <w:rFonts w:cs="B Titr" w:hint="cs"/>
          <w:b/>
          <w:bCs/>
          <w:sz w:val="90"/>
          <w:szCs w:val="90"/>
          <w:rtl/>
          <w:lang w:bidi="fa-IR"/>
        </w:rPr>
        <w:t>آمادگی جسمانی</w:t>
      </w: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Pr="005A5429" w:rsidRDefault="00FF6A1B" w:rsidP="00FF6A1B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A5429">
        <w:rPr>
          <w:rFonts w:cs="B Nazanin" w:hint="cs"/>
          <w:b/>
          <w:bCs/>
          <w:sz w:val="36"/>
          <w:szCs w:val="36"/>
          <w:rtl/>
          <w:lang w:bidi="fa-IR"/>
        </w:rPr>
        <w:t xml:space="preserve">استاد: </w:t>
      </w:r>
    </w:p>
    <w:p w:rsidR="00FF6A1B" w:rsidRPr="005A5429" w:rsidRDefault="00FF6A1B" w:rsidP="00FF6A1B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A5429">
        <w:rPr>
          <w:rFonts w:cs="B Nazanin" w:hint="cs"/>
          <w:b/>
          <w:bCs/>
          <w:sz w:val="36"/>
          <w:szCs w:val="36"/>
          <w:rtl/>
          <w:lang w:bidi="fa-IR"/>
        </w:rPr>
        <w:t>...</w:t>
      </w:r>
    </w:p>
    <w:p w:rsidR="00FF6A1B" w:rsidRPr="005A5429" w:rsidRDefault="00FF6A1B" w:rsidP="00FF6A1B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FF6A1B" w:rsidRPr="005A5429" w:rsidRDefault="00FF6A1B" w:rsidP="00FF6A1B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A5429">
        <w:rPr>
          <w:rFonts w:cs="B Nazanin" w:hint="cs"/>
          <w:b/>
          <w:bCs/>
          <w:sz w:val="36"/>
          <w:szCs w:val="36"/>
          <w:rtl/>
          <w:lang w:bidi="fa-IR"/>
        </w:rPr>
        <w:t xml:space="preserve">دانشجو: </w:t>
      </w:r>
    </w:p>
    <w:p w:rsidR="00FF6A1B" w:rsidRPr="005A5429" w:rsidRDefault="00FF6A1B" w:rsidP="00FF6A1B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A5429">
        <w:rPr>
          <w:rFonts w:cs="B Nazanin" w:hint="cs"/>
          <w:b/>
          <w:bCs/>
          <w:sz w:val="36"/>
          <w:szCs w:val="36"/>
          <w:rtl/>
          <w:lang w:bidi="fa-IR"/>
        </w:rPr>
        <w:t>...</w:t>
      </w:r>
    </w:p>
    <w:p w:rsidR="00FF6A1B" w:rsidRPr="005A5429" w:rsidRDefault="00FF6A1B" w:rsidP="00FF6A1B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FF6A1B" w:rsidRPr="005A5429" w:rsidRDefault="00FF6A1B" w:rsidP="00FF6A1B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A5429">
        <w:rPr>
          <w:rFonts w:cs="B Nazanin" w:hint="cs"/>
          <w:b/>
          <w:bCs/>
          <w:sz w:val="36"/>
          <w:szCs w:val="36"/>
          <w:rtl/>
          <w:lang w:bidi="fa-IR"/>
        </w:rPr>
        <w:t xml:space="preserve">شماره دانشجویی: </w:t>
      </w:r>
    </w:p>
    <w:p w:rsidR="00FF6A1B" w:rsidRPr="005A5429" w:rsidRDefault="00FF6A1B" w:rsidP="00FF6A1B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A5429">
        <w:rPr>
          <w:rFonts w:cs="B Nazanin" w:hint="cs"/>
          <w:b/>
          <w:bCs/>
          <w:sz w:val="36"/>
          <w:szCs w:val="36"/>
          <w:rtl/>
          <w:lang w:bidi="fa-IR"/>
        </w:rPr>
        <w:t>...</w:t>
      </w: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سال</w:t>
      </w:r>
      <w:r w:rsidR="0080031D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 </w:t>
      </w:r>
    </w:p>
    <w:p w:rsidR="00FF6A1B" w:rsidRDefault="00FF6A1B" w:rsidP="00FF6A1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6A1B" w:rsidRDefault="00FF6A1B">
      <w:pPr>
        <w:pStyle w:val="Heading1"/>
        <w:rPr>
          <w:rtl/>
        </w:rPr>
        <w:sectPr w:rsidR="00FF6A1B" w:rsidSect="00FF6A1B">
          <w:footerReference w:type="default" r:id="rId8"/>
          <w:pgSz w:w="11909" w:h="16834" w:code="9"/>
          <w:pgMar w:top="1260" w:right="1469" w:bottom="126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titlePg/>
          <w:docGrid w:linePitch="360"/>
        </w:sectPr>
      </w:pPr>
    </w:p>
    <w:p w:rsidR="00FF6A1B" w:rsidRPr="00FF6A1B" w:rsidRDefault="00FF6A1B">
      <w:pPr>
        <w:pStyle w:val="Heading1"/>
        <w:rPr>
          <w:rFonts w:hint="cs"/>
          <w:sz w:val="2"/>
          <w:szCs w:val="2"/>
          <w:rtl/>
        </w:rPr>
      </w:pPr>
    </w:p>
    <w:p w:rsidR="00000000" w:rsidRDefault="00591D9F">
      <w:pPr>
        <w:pStyle w:val="Heading1"/>
        <w:rPr>
          <w:rFonts w:hint="cs"/>
          <w:rtl/>
        </w:rPr>
      </w:pPr>
      <w:r>
        <w:rPr>
          <w:rFonts w:hint="cs"/>
          <w:rtl/>
        </w:rPr>
        <w:t xml:space="preserve">آشنايي با مفاهيم عمومي در زمينه آمادگي جسماني و تندرستي </w:t>
      </w:r>
    </w:p>
    <w:p w:rsidR="00000000" w:rsidRDefault="00591D9F">
      <w:pPr>
        <w:bidi/>
        <w:spacing w:line="288" w:lineRule="auto"/>
        <w:jc w:val="both"/>
        <w:rPr>
          <w:rFonts w:cs="Mitra" w:hint="cs"/>
          <w:b/>
          <w:bCs/>
          <w:sz w:val="32"/>
          <w:szCs w:val="32"/>
          <w:rtl/>
        </w:rPr>
      </w:pPr>
      <w:r>
        <w:rPr>
          <w:rFonts w:cs="Mitra" w:hint="cs"/>
          <w:b/>
          <w:bCs/>
          <w:sz w:val="32"/>
          <w:szCs w:val="32"/>
          <w:rtl/>
        </w:rPr>
        <w:t xml:space="preserve">تندرستي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b/>
          <w:bCs/>
          <w:sz w:val="32"/>
          <w:szCs w:val="32"/>
          <w:rtl/>
        </w:rPr>
        <w:t xml:space="preserve">     </w:t>
      </w:r>
      <w:r>
        <w:rPr>
          <w:rFonts w:cs="Mitra" w:hint="cs"/>
          <w:sz w:val="32"/>
          <w:szCs w:val="32"/>
          <w:rtl/>
        </w:rPr>
        <w:t xml:space="preserve">از نظر سازمان بهداشت جهاني ( </w:t>
      </w:r>
      <w:r>
        <w:rPr>
          <w:rFonts w:cs="Mitra"/>
          <w:sz w:val="32"/>
          <w:szCs w:val="32"/>
        </w:rPr>
        <w:t>WHO</w:t>
      </w:r>
      <w:r>
        <w:rPr>
          <w:rFonts w:cs="Mitra" w:hint="cs"/>
          <w:sz w:val="32"/>
          <w:szCs w:val="32"/>
          <w:rtl/>
        </w:rPr>
        <w:t xml:space="preserve"> )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تندرستي صرفا نداشتن بيماري و ضعف نيست ؛ بلكه منظور از آن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سلامتي كامل جسمي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ذهني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اجتماعي و روحي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در حقيقت دو هدف عمده تندرستي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به تاخير ان</w:t>
      </w:r>
      <w:r>
        <w:rPr>
          <w:rFonts w:cs="Mitra" w:hint="cs"/>
          <w:sz w:val="32"/>
          <w:szCs w:val="32"/>
          <w:rtl/>
        </w:rPr>
        <w:t>داختن مرگ و پيشگيري از بيماري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 سلامتي جسمي به معناي فقدان بيماري و ناتواني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همراه با زنده دلي و داشتن انرژي كافي براي انجام كارهاي روزانه و بهره مندي از تفريحات فعال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بدون خستگي بي مورد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 سلامتي اجتماعي اشاره به توانايي براي تقابل مو</w:t>
      </w:r>
      <w:r>
        <w:rPr>
          <w:rFonts w:cs="Mitra" w:hint="cs"/>
          <w:sz w:val="32"/>
          <w:szCs w:val="32"/>
          <w:rtl/>
        </w:rPr>
        <w:t>ثر با افراد ديگر و محيط اجتماعي و همچنين برخورداري از ارتباطهاي شخصي رضايت بخش و لذت آور دارد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 سلامتي ذهني را روان شناختي اشاره به فقدان اختلالات ذهني و توانايي روبرو شدن با تناقضهاي روزانه و تقابل اجتماعي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بدون بروز مشكلات رفتاري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رواني و ذهني اس</w:t>
      </w:r>
      <w:r>
        <w:rPr>
          <w:rFonts w:cs="Mitra" w:hint="cs"/>
          <w:sz w:val="32"/>
          <w:szCs w:val="32"/>
          <w:rtl/>
        </w:rPr>
        <w:t>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 سلامتي روحي توانايي توسعه طبيعت روحي شخص به ظرفيت كامل آن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pStyle w:val="Heading1"/>
        <w:rPr>
          <w:rFonts w:hint="cs"/>
          <w:rtl/>
        </w:rPr>
      </w:pPr>
      <w:r>
        <w:rPr>
          <w:rFonts w:hint="cs"/>
          <w:rtl/>
        </w:rPr>
        <w:t>خوشي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 خوشي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اصطلاحي است  كه سلامتي مثبت و آمادگي كلي نيز ناميده مي شود ؛ بنابراين در تعريف آن مي توان گفت</w:t>
      </w:r>
      <w:r w:rsidR="0080031D">
        <w:rPr>
          <w:rFonts w:cs="Mitra" w:hint="cs"/>
          <w:sz w:val="32"/>
          <w:szCs w:val="32"/>
          <w:rtl/>
        </w:rPr>
        <w:t>:</w:t>
      </w:r>
      <w:r>
        <w:rPr>
          <w:rFonts w:cs="Mitra" w:hint="cs"/>
          <w:sz w:val="32"/>
          <w:szCs w:val="32"/>
          <w:rtl/>
        </w:rPr>
        <w:t xml:space="preserve"> "خوشي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به مفهوم كيفيت مطلوب زندگي از نظر اجتماعي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ذهني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روحي و جس</w:t>
      </w:r>
      <w:r>
        <w:rPr>
          <w:rFonts w:cs="Mitra" w:hint="cs"/>
          <w:sz w:val="32"/>
          <w:szCs w:val="32"/>
          <w:rtl/>
        </w:rPr>
        <w:t>م است "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اين سطوح از زندگي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با يكديگر روابط متقابل دارند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به طوري كه افزايش يا كاهش هر يك از اين عوامل بر عوامل ديگر نيز تاثير دارد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در واقع خوشي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به مفهوم تعادل در زندگي است مفهوم تعادل اين است كه به همان اندازه كه به عوامل ذهني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روحي و اجتماعي توجه</w:t>
      </w:r>
      <w:r>
        <w:rPr>
          <w:rFonts w:cs="Mitra" w:hint="cs"/>
          <w:sz w:val="32"/>
          <w:szCs w:val="32"/>
          <w:rtl/>
        </w:rPr>
        <w:t xml:space="preserve"> مي كنيم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به جسم نيز بايد توجه كنيم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تغذيه صحيح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حفظ تركيب بدني سالم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ورزش منظم و مداوم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عدم مصرف بي رويه دارو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نداشتن بيماريهاي مقاربتي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پرورش نيروي برقراري ارتباط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پرورش روح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نگرش مثبت به زندگي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داشتن اوقات خوش و داشتن هدف در زندگي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همگي به طو</w:t>
      </w:r>
      <w:r>
        <w:rPr>
          <w:rFonts w:cs="Mitra" w:hint="cs"/>
          <w:sz w:val="32"/>
          <w:szCs w:val="32"/>
          <w:rtl/>
        </w:rPr>
        <w:t>ر مساوي در خوشي و آمادگي كلي مهم هستند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در حقيقت خوشي و آمادگي كلي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شرايطي پويا و چند بعدي است كه به وراثت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محيط و اشتياق شخص وابسته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pStyle w:val="Heading1"/>
        <w:rPr>
          <w:rFonts w:hint="cs"/>
          <w:rtl/>
        </w:rPr>
      </w:pPr>
      <w:r>
        <w:rPr>
          <w:rFonts w:hint="cs"/>
          <w:rtl/>
        </w:rPr>
        <w:t xml:space="preserve">فعاليت بدني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 به هر نوع حركت جسمي كه به وسيله عضلات اسكلتي ايجاد مي شود و باعث مصرف انرژي     مي گردد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"فعا</w:t>
      </w:r>
      <w:r>
        <w:rPr>
          <w:rFonts w:cs="Mitra" w:hint="cs"/>
          <w:sz w:val="32"/>
          <w:szCs w:val="32"/>
          <w:rtl/>
        </w:rPr>
        <w:t>ليت بدني" مي گويند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فعاليت بدني بخش مهمي از بهبود كيفيت زندگي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؛ زيرا سطح </w:t>
      </w:r>
      <w:r>
        <w:rPr>
          <w:rFonts w:cs="Mitra" w:hint="cs"/>
          <w:sz w:val="32"/>
          <w:szCs w:val="32"/>
          <w:rtl/>
        </w:rPr>
        <w:lastRenderedPageBreak/>
        <w:t>انرژي را افزايش مي دهد و سلامتي جسمي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ذهني و روان شناختي و به طور كلي مزاياي تندرستي مطلوب را ايجاد مي كند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pStyle w:val="Heading1"/>
        <w:rPr>
          <w:rFonts w:hint="cs"/>
          <w:rtl/>
        </w:rPr>
      </w:pPr>
      <w:r>
        <w:rPr>
          <w:rFonts w:hint="cs"/>
          <w:rtl/>
        </w:rPr>
        <w:t xml:space="preserve">بيماري فقر حركتي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 شايد يكي از راه هاي نشان دادن اهميت تحرك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مطرح كردن بيماري فقر حركتي باشد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بيماري فقر حركتي اصطلاحي است براي آن دسته از بيماري هايي كه مي توانند تا حدي به بعضي شيوه هاي زندگي بي تحرك مربوط باشند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منظور از فقر حركتي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كم بودن سطح فعاليت بدني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با پيشرفت فناوري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عادات حركتي براي برآورده كردن</w:t>
      </w:r>
      <w:r>
        <w:rPr>
          <w:rFonts w:cs="Mitra" w:hint="cs"/>
          <w:sz w:val="32"/>
          <w:szCs w:val="32"/>
          <w:rtl/>
        </w:rPr>
        <w:t xml:space="preserve"> نيازهاي روزانه كاهش يافته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اين كمبود فعاليت     مي تواند باعث زوال بسياري از روندهاي طبيعي بدن شود ؛ بنابراين مشكلات پزشكي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از جمله بيماري سرخك كرونري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فشار خون بالا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چاقي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پوكي استخوان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ديابت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فشار رواني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بيماري بي خوابي و كمر درد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ممكن است </w:t>
      </w:r>
      <w:r>
        <w:rPr>
          <w:rFonts w:cs="Mitra" w:hint="cs"/>
          <w:sz w:val="32"/>
          <w:szCs w:val="32"/>
          <w:rtl/>
        </w:rPr>
        <w:t>به طور مستقيم يا غير مستقيم به كاهش فعاليت بدني مربوط شود ؛ بنابراين افزايش سطح فعاليت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ممكن است روند بيماري را تا حدي تغيير دهد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از بين بيماري هاي اشاره شده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بيماريهاي قلبي ـ عروقي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بويژه بيماري سرخك كرونري علت اصلي مرگ در كشورهاي پيشرفته است؛ براي مث</w:t>
      </w:r>
      <w:r>
        <w:rPr>
          <w:rFonts w:cs="Mitra" w:hint="cs"/>
          <w:sz w:val="32"/>
          <w:szCs w:val="32"/>
          <w:rtl/>
        </w:rPr>
        <w:t xml:space="preserve">ال </w:t>
      </w:r>
      <w:r>
        <w:rPr>
          <w:rFonts w:cs="Mitra"/>
          <w:position w:val="-24"/>
          <w:sz w:val="32"/>
          <w:szCs w:val="32"/>
          <w:rtl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30.85pt" o:ole="">
            <v:imagedata r:id="rId9" o:title=""/>
          </v:shape>
          <o:OLEObject Type="Embed" ProgID="Equation.3" ShapeID="_x0000_i1025" DrawAspect="Content" ObjectID="_1682064940" r:id="rId10"/>
        </w:object>
      </w:r>
      <w:r>
        <w:rPr>
          <w:rFonts w:cs="Mitra" w:hint="cs"/>
          <w:sz w:val="32"/>
          <w:szCs w:val="32"/>
          <w:rtl/>
        </w:rPr>
        <w:t xml:space="preserve"> مرگها بعلت بيماري قلبي ـ عروقي است ( جدول 1 ) كه </w:t>
      </w:r>
      <w:r>
        <w:rPr>
          <w:rFonts w:cs="Mitra"/>
          <w:position w:val="-24"/>
          <w:sz w:val="32"/>
          <w:szCs w:val="32"/>
          <w:rtl/>
        </w:rPr>
        <w:object w:dxaOrig="240" w:dyaOrig="620">
          <v:shape id="_x0000_i1026" type="#_x0000_t75" style="width:11.85pt;height:30.85pt" o:ole="">
            <v:imagedata r:id="rId11" o:title=""/>
          </v:shape>
          <o:OLEObject Type="Embed" ProgID="Equation.3" ShapeID="_x0000_i1026" DrawAspect="Content" ObjectID="_1682064941" r:id="rId12"/>
        </w:object>
      </w:r>
      <w:r>
        <w:rPr>
          <w:rFonts w:cs="Mitra" w:hint="cs"/>
          <w:sz w:val="32"/>
          <w:szCs w:val="32"/>
          <w:rtl/>
        </w:rPr>
        <w:t xml:space="preserve"> آن نيز مربوط به بيماري سرخك كرونري است ؛ به همين دليل در اين بخش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بنا به اهميت موضوع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بيماري سرخك كرونري بررسي مي شود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80031D" w:rsidRDefault="0080031D">
      <w:pPr>
        <w:bidi/>
        <w:spacing w:line="288" w:lineRule="auto"/>
        <w:jc w:val="center"/>
        <w:rPr>
          <w:rFonts w:cs="Mitra" w:hint="cs"/>
          <w:sz w:val="32"/>
          <w:szCs w:val="32"/>
          <w:rtl/>
        </w:rPr>
      </w:pPr>
    </w:p>
    <w:p w:rsidR="0080031D" w:rsidRDefault="0080031D" w:rsidP="0080031D">
      <w:pPr>
        <w:bidi/>
        <w:spacing w:line="288" w:lineRule="auto"/>
        <w:jc w:val="center"/>
        <w:rPr>
          <w:rFonts w:cs="Mitra" w:hint="cs"/>
          <w:sz w:val="32"/>
          <w:szCs w:val="32"/>
          <w:rtl/>
        </w:rPr>
      </w:pPr>
    </w:p>
    <w:p w:rsidR="0080031D" w:rsidRDefault="0080031D" w:rsidP="0080031D">
      <w:pPr>
        <w:bidi/>
        <w:spacing w:line="288" w:lineRule="auto"/>
        <w:jc w:val="center"/>
        <w:rPr>
          <w:rFonts w:cs="Mitra" w:hint="cs"/>
          <w:sz w:val="32"/>
          <w:szCs w:val="32"/>
          <w:rtl/>
        </w:rPr>
      </w:pPr>
    </w:p>
    <w:p w:rsidR="0080031D" w:rsidRDefault="0080031D" w:rsidP="0080031D">
      <w:pPr>
        <w:bidi/>
        <w:spacing w:line="288" w:lineRule="auto"/>
        <w:jc w:val="center"/>
        <w:rPr>
          <w:rFonts w:cs="Mitra" w:hint="cs"/>
          <w:sz w:val="32"/>
          <w:szCs w:val="32"/>
          <w:rtl/>
        </w:rPr>
      </w:pPr>
    </w:p>
    <w:p w:rsidR="0080031D" w:rsidRDefault="0080031D" w:rsidP="0080031D">
      <w:pPr>
        <w:bidi/>
        <w:spacing w:line="288" w:lineRule="auto"/>
        <w:jc w:val="center"/>
        <w:rPr>
          <w:rFonts w:cs="Mitra" w:hint="cs"/>
          <w:sz w:val="32"/>
          <w:szCs w:val="32"/>
          <w:rtl/>
        </w:rPr>
      </w:pPr>
    </w:p>
    <w:p w:rsidR="0080031D" w:rsidRDefault="0080031D" w:rsidP="0080031D">
      <w:pPr>
        <w:bidi/>
        <w:spacing w:line="288" w:lineRule="auto"/>
        <w:jc w:val="center"/>
        <w:rPr>
          <w:rFonts w:cs="Mitra" w:hint="cs"/>
          <w:sz w:val="32"/>
          <w:szCs w:val="32"/>
          <w:rtl/>
        </w:rPr>
      </w:pPr>
    </w:p>
    <w:p w:rsidR="0080031D" w:rsidRDefault="0080031D" w:rsidP="0080031D">
      <w:pPr>
        <w:bidi/>
        <w:spacing w:line="288" w:lineRule="auto"/>
        <w:jc w:val="center"/>
        <w:rPr>
          <w:rFonts w:cs="Mitra" w:hint="cs"/>
          <w:sz w:val="32"/>
          <w:szCs w:val="32"/>
          <w:rtl/>
        </w:rPr>
      </w:pPr>
    </w:p>
    <w:p w:rsidR="0080031D" w:rsidRDefault="0080031D" w:rsidP="0080031D">
      <w:pPr>
        <w:bidi/>
        <w:spacing w:line="288" w:lineRule="auto"/>
        <w:jc w:val="center"/>
        <w:rPr>
          <w:rFonts w:cs="Mitra" w:hint="cs"/>
          <w:sz w:val="32"/>
          <w:szCs w:val="32"/>
          <w:rtl/>
        </w:rPr>
      </w:pPr>
    </w:p>
    <w:p w:rsidR="0080031D" w:rsidRDefault="0080031D" w:rsidP="0080031D">
      <w:pPr>
        <w:bidi/>
        <w:spacing w:line="288" w:lineRule="auto"/>
        <w:jc w:val="center"/>
        <w:rPr>
          <w:rFonts w:cs="Mitra" w:hint="cs"/>
          <w:sz w:val="32"/>
          <w:szCs w:val="32"/>
          <w:rtl/>
        </w:rPr>
      </w:pPr>
    </w:p>
    <w:p w:rsidR="0080031D" w:rsidRDefault="0080031D" w:rsidP="0080031D">
      <w:pPr>
        <w:bidi/>
        <w:spacing w:line="288" w:lineRule="auto"/>
        <w:jc w:val="center"/>
        <w:rPr>
          <w:rFonts w:cs="Mitra" w:hint="cs"/>
          <w:sz w:val="32"/>
          <w:szCs w:val="32"/>
          <w:rtl/>
        </w:rPr>
      </w:pPr>
    </w:p>
    <w:p w:rsidR="0080031D" w:rsidRDefault="0080031D" w:rsidP="0080031D">
      <w:pPr>
        <w:bidi/>
        <w:spacing w:line="288" w:lineRule="auto"/>
        <w:jc w:val="center"/>
        <w:rPr>
          <w:rFonts w:cs="Mitra" w:hint="cs"/>
          <w:sz w:val="32"/>
          <w:szCs w:val="32"/>
          <w:rtl/>
        </w:rPr>
      </w:pPr>
    </w:p>
    <w:p w:rsidR="00000000" w:rsidRDefault="00591D9F" w:rsidP="0080031D">
      <w:pPr>
        <w:bidi/>
        <w:spacing w:line="288" w:lineRule="auto"/>
        <w:jc w:val="center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lastRenderedPageBreak/>
        <w:t>جدول 1 آمار علت مرگ در ايالات متح</w:t>
      </w:r>
      <w:r>
        <w:rPr>
          <w:rFonts w:cs="Mitra" w:hint="cs"/>
          <w:sz w:val="32"/>
          <w:szCs w:val="32"/>
          <w:rtl/>
        </w:rPr>
        <w:t xml:space="preserve">ده در سال 1995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2020"/>
      </w:tblGrid>
      <w:tr w:rsidR="0028067C" w:rsidTr="0080031D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4468" w:type="dxa"/>
          </w:tcPr>
          <w:p w:rsidR="0028067C" w:rsidRDefault="0028067C">
            <w:pPr>
              <w:pStyle w:val="Heading2"/>
              <w:spacing w:line="240" w:lineRule="auto"/>
              <w:rPr>
                <w:rFonts w:hint="cs"/>
                <w:szCs w:val="28"/>
              </w:rPr>
            </w:pPr>
            <w:r>
              <w:rPr>
                <w:rFonts w:hint="cs"/>
                <w:szCs w:val="28"/>
                <w:rtl/>
              </w:rPr>
              <w:t xml:space="preserve">علت مرگ </w:t>
            </w:r>
          </w:p>
        </w:tc>
        <w:tc>
          <w:tcPr>
            <w:tcW w:w="2020" w:type="dxa"/>
          </w:tcPr>
          <w:p w:rsidR="0028067C" w:rsidRDefault="0028067C">
            <w:pPr>
              <w:bidi/>
              <w:jc w:val="center"/>
              <w:rPr>
                <w:rFonts w:cs="Mitra" w:hint="cs"/>
                <w:b/>
                <w:bCs/>
                <w:sz w:val="32"/>
                <w:szCs w:val="28"/>
              </w:rPr>
            </w:pPr>
            <w:r>
              <w:rPr>
                <w:rFonts w:cs="Mitra" w:hint="cs"/>
                <w:b/>
                <w:bCs/>
                <w:sz w:val="32"/>
                <w:szCs w:val="28"/>
                <w:rtl/>
              </w:rPr>
              <w:t>تعداد افراد ( نفر )</w:t>
            </w:r>
          </w:p>
        </w:tc>
      </w:tr>
      <w:tr w:rsidR="0028067C" w:rsidTr="0080031D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4468" w:type="dxa"/>
          </w:tcPr>
          <w:p w:rsidR="0028067C" w:rsidRDefault="0028067C">
            <w:pPr>
              <w:pStyle w:val="Heading3"/>
              <w:spacing w:line="240" w:lineRule="auto"/>
              <w:rPr>
                <w:rFonts w:hint="cs"/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بيماري قلبي</w:t>
            </w:r>
          </w:p>
          <w:p w:rsidR="0028067C" w:rsidRDefault="0028067C">
            <w:pPr>
              <w:bidi/>
              <w:jc w:val="both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 xml:space="preserve">سرطان </w:t>
            </w:r>
          </w:p>
          <w:p w:rsidR="0028067C" w:rsidRDefault="0028067C">
            <w:pPr>
              <w:bidi/>
              <w:jc w:val="both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 xml:space="preserve">حمله مغزي </w:t>
            </w:r>
          </w:p>
          <w:p w:rsidR="0028067C" w:rsidRDefault="0028067C">
            <w:pPr>
              <w:bidi/>
              <w:jc w:val="both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 xml:space="preserve">بيماري انسداد مزمن ريوي </w:t>
            </w:r>
          </w:p>
          <w:p w:rsidR="0028067C" w:rsidRDefault="0028067C">
            <w:pPr>
              <w:bidi/>
              <w:jc w:val="both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 xml:space="preserve">سانحه ( كلي ) </w:t>
            </w:r>
          </w:p>
          <w:p w:rsidR="0028067C" w:rsidRDefault="0028067C">
            <w:pPr>
              <w:bidi/>
              <w:jc w:val="both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 xml:space="preserve">تصادف وسايط نقليه </w:t>
            </w:r>
          </w:p>
          <w:p w:rsidR="0028067C" w:rsidRDefault="0028067C">
            <w:pPr>
              <w:bidi/>
              <w:jc w:val="both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 xml:space="preserve">ذات الريه و آنفولانزا </w:t>
            </w:r>
          </w:p>
          <w:p w:rsidR="0028067C" w:rsidRDefault="0028067C">
            <w:pPr>
              <w:pStyle w:val="Heading3"/>
              <w:spacing w:line="240" w:lineRule="auto"/>
              <w:rPr>
                <w:rFonts w:hint="cs"/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 xml:space="preserve">انواع ديابت </w:t>
            </w:r>
          </w:p>
          <w:p w:rsidR="0028067C" w:rsidRDefault="0028067C">
            <w:pPr>
              <w:bidi/>
              <w:jc w:val="both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 xml:space="preserve">ايدز </w:t>
            </w:r>
          </w:p>
          <w:p w:rsidR="0028067C" w:rsidRDefault="0028067C">
            <w:pPr>
              <w:pStyle w:val="Heading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خود كشي </w:t>
            </w:r>
          </w:p>
          <w:p w:rsidR="0028067C" w:rsidRDefault="0028067C">
            <w:pPr>
              <w:bidi/>
              <w:jc w:val="both"/>
              <w:rPr>
                <w:rFonts w:cs="Mitra" w:hint="cs"/>
                <w:sz w:val="32"/>
                <w:szCs w:val="28"/>
              </w:rPr>
            </w:pPr>
            <w:r>
              <w:rPr>
                <w:rFonts w:cs="Mitra" w:hint="cs"/>
                <w:sz w:val="32"/>
                <w:szCs w:val="28"/>
                <w:rtl/>
              </w:rPr>
              <w:t xml:space="preserve">بيماري مزمن كبد  </w:t>
            </w:r>
          </w:p>
        </w:tc>
        <w:tc>
          <w:tcPr>
            <w:tcW w:w="2020" w:type="dxa"/>
          </w:tcPr>
          <w:p w:rsidR="0028067C" w:rsidRDefault="0028067C">
            <w:pPr>
              <w:bidi/>
              <w:jc w:val="center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>737563</w:t>
            </w:r>
          </w:p>
          <w:p w:rsidR="0028067C" w:rsidRDefault="0028067C">
            <w:pPr>
              <w:bidi/>
              <w:jc w:val="center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>538455</w:t>
            </w:r>
          </w:p>
          <w:p w:rsidR="0028067C" w:rsidRDefault="0028067C">
            <w:pPr>
              <w:bidi/>
              <w:jc w:val="center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>157991</w:t>
            </w:r>
          </w:p>
          <w:p w:rsidR="0028067C" w:rsidRDefault="0028067C">
            <w:pPr>
              <w:bidi/>
              <w:jc w:val="center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>102899</w:t>
            </w:r>
          </w:p>
          <w:p w:rsidR="0028067C" w:rsidRDefault="0028067C">
            <w:pPr>
              <w:bidi/>
              <w:jc w:val="center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>93320</w:t>
            </w:r>
          </w:p>
          <w:p w:rsidR="0028067C" w:rsidRDefault="0028067C">
            <w:pPr>
              <w:bidi/>
              <w:jc w:val="center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>43120</w:t>
            </w:r>
          </w:p>
          <w:p w:rsidR="0028067C" w:rsidRDefault="0028067C">
            <w:pPr>
              <w:bidi/>
              <w:jc w:val="center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>82923</w:t>
            </w:r>
          </w:p>
          <w:p w:rsidR="0028067C" w:rsidRDefault="0028067C">
            <w:pPr>
              <w:bidi/>
              <w:jc w:val="center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>43115</w:t>
            </w:r>
          </w:p>
          <w:p w:rsidR="0028067C" w:rsidRDefault="0028067C">
            <w:pPr>
              <w:bidi/>
              <w:jc w:val="center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>43115</w:t>
            </w:r>
          </w:p>
          <w:p w:rsidR="0028067C" w:rsidRDefault="0028067C">
            <w:pPr>
              <w:bidi/>
              <w:jc w:val="center"/>
              <w:rPr>
                <w:rFonts w:cs="Mitra" w:hint="cs"/>
                <w:sz w:val="32"/>
                <w:szCs w:val="28"/>
                <w:rtl/>
              </w:rPr>
            </w:pPr>
            <w:r>
              <w:rPr>
                <w:rFonts w:cs="Mitra" w:hint="cs"/>
                <w:sz w:val="32"/>
                <w:szCs w:val="28"/>
                <w:rtl/>
              </w:rPr>
              <w:t>31284</w:t>
            </w:r>
          </w:p>
          <w:p w:rsidR="0028067C" w:rsidRDefault="0028067C">
            <w:pPr>
              <w:bidi/>
              <w:jc w:val="center"/>
              <w:rPr>
                <w:rFonts w:cs="Mitra" w:hint="cs"/>
                <w:sz w:val="32"/>
                <w:szCs w:val="28"/>
              </w:rPr>
            </w:pPr>
            <w:r>
              <w:rPr>
                <w:rFonts w:cs="Mitra" w:hint="cs"/>
                <w:sz w:val="32"/>
                <w:szCs w:val="28"/>
                <w:rtl/>
              </w:rPr>
              <w:t>25222</w:t>
            </w:r>
          </w:p>
        </w:tc>
      </w:tr>
      <w:tr w:rsidR="0028067C" w:rsidTr="0080031D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4468" w:type="dxa"/>
          </w:tcPr>
          <w:p w:rsidR="0028067C" w:rsidRDefault="0028067C">
            <w:pPr>
              <w:pStyle w:val="Heading2"/>
              <w:spacing w:line="240" w:lineRule="auto"/>
              <w:rPr>
                <w:rFonts w:hint="cs"/>
                <w:szCs w:val="28"/>
              </w:rPr>
            </w:pPr>
            <w:r>
              <w:rPr>
                <w:rFonts w:hint="cs"/>
                <w:szCs w:val="28"/>
                <w:rtl/>
              </w:rPr>
              <w:t xml:space="preserve">جمع </w:t>
            </w:r>
          </w:p>
        </w:tc>
        <w:tc>
          <w:tcPr>
            <w:tcW w:w="2020" w:type="dxa"/>
          </w:tcPr>
          <w:p w:rsidR="0028067C" w:rsidRDefault="0028067C">
            <w:pPr>
              <w:bidi/>
              <w:jc w:val="center"/>
              <w:rPr>
                <w:rFonts w:cs="Mitra" w:hint="cs"/>
                <w:sz w:val="32"/>
                <w:szCs w:val="28"/>
              </w:rPr>
            </w:pPr>
            <w:r>
              <w:rPr>
                <w:rFonts w:cs="Mitra" w:hint="cs"/>
                <w:sz w:val="32"/>
                <w:szCs w:val="28"/>
                <w:rtl/>
              </w:rPr>
              <w:t>1899007</w:t>
            </w:r>
          </w:p>
        </w:tc>
      </w:tr>
    </w:tbl>
    <w:p w:rsidR="00000000" w:rsidRDefault="00591D9F">
      <w:pPr>
        <w:bidi/>
        <w:spacing w:line="288" w:lineRule="auto"/>
        <w:jc w:val="both"/>
        <w:rPr>
          <w:rFonts w:cs="Mitra" w:hint="cs"/>
          <w:b/>
          <w:bCs/>
          <w:sz w:val="32"/>
          <w:szCs w:val="32"/>
          <w:rtl/>
        </w:rPr>
      </w:pPr>
      <w:r>
        <w:rPr>
          <w:rFonts w:cs="Mitra" w:hint="cs"/>
          <w:b/>
          <w:bCs/>
          <w:sz w:val="32"/>
          <w:szCs w:val="32"/>
          <w:rtl/>
        </w:rPr>
        <w:t xml:space="preserve">بيماري سرخك كرونري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بدون شك سيستم قلبي ـ عروقي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در برابر بسياري از فشارها آسيب پذير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شيوه زندگي نقش عمده اي در توسعه بيماري سرخك كرونري دارد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اين بيماري از تجمع رسوب چربي در سرخرگهاي كرونري قلب ناشي مي شود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اين</w:t>
      </w:r>
      <w:r>
        <w:rPr>
          <w:rFonts w:cs="Mitra" w:hint="cs"/>
          <w:sz w:val="32"/>
          <w:szCs w:val="32"/>
          <w:rtl/>
        </w:rPr>
        <w:t xml:space="preserve"> سرخكها وظيفه خون رساني به عضله قلب را دارند ؛ رسوب لايه هاي چربي اغلب در دوران كودكي آغاز مي شود و از آن پس در سراسر زندگي ادامه مي يابد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رسوب تدريجي چربي مي تواند منجر به باريك شدن سرخكهاي كرونري يا آترواسكلروز شود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انسداد كامل يا ناقص يك يا چند سرخك ك</w:t>
      </w:r>
      <w:r>
        <w:rPr>
          <w:rFonts w:cs="Mitra" w:hint="cs"/>
          <w:sz w:val="32"/>
          <w:szCs w:val="32"/>
          <w:rtl/>
        </w:rPr>
        <w:t>رونري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مي تواند باعث كم خوني عضله قلبي ( ايسكمي ميوكارد ) شود كه در اين وضعيت عضله قلب اكسيژن كافي دريافت نمي كند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اين پديده مي تواند علايمي مانند درد سينه ( آنژين قفسه سينه ) را بدنبال داشته باشد و در صورتي كه شديد باشد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مي تواند باعث حمله قلبي شود.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</w:t>
      </w:r>
      <w:r>
        <w:rPr>
          <w:rFonts w:cs="Mitra" w:hint="cs"/>
          <w:sz w:val="32"/>
          <w:szCs w:val="32"/>
          <w:rtl/>
        </w:rPr>
        <w:t xml:space="preserve">    ديگر بيماريهاي قلبي ـ عروقي عبارتند از بيماري فشار خون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حمله مغزي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رماتيسم قلبي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بيماري سرخك محيطي و نارسايي احتقاني قلب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pStyle w:val="Heading1"/>
        <w:rPr>
          <w:rFonts w:hint="cs"/>
          <w:rtl/>
        </w:rPr>
      </w:pPr>
      <w:r>
        <w:rPr>
          <w:rFonts w:hint="cs"/>
          <w:rtl/>
        </w:rPr>
        <w:t xml:space="preserve">عوامل خطر آفرين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 مطالعات مختلف همه گير شناسي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مشخص كرده است كه بيماري قلبي ـ عروقي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بويژه بيماري سرخك كرونري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به شيوه</w:t>
      </w:r>
      <w:r>
        <w:rPr>
          <w:rFonts w:cs="Mitra" w:hint="cs"/>
          <w:sz w:val="32"/>
          <w:szCs w:val="32"/>
          <w:rtl/>
        </w:rPr>
        <w:t xml:space="preserve"> زندگي شخص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عادات و رفتار بهداشتي و عوامل موروثي ارتباط دارد كه در مجموع عوامل خطر آفرين ناميده مي شود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به طور كلي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عوامل خطر آفرين به دو بخش اوليه و ثانويه </w:t>
      </w:r>
      <w:r>
        <w:rPr>
          <w:rFonts w:cs="Mitra" w:hint="cs"/>
          <w:sz w:val="32"/>
          <w:szCs w:val="32"/>
          <w:rtl/>
        </w:rPr>
        <w:lastRenderedPageBreak/>
        <w:t>تقسيم مي شوند</w:t>
      </w:r>
      <w:r w:rsidR="0080031D">
        <w:rPr>
          <w:rFonts w:cs="Mitra" w:hint="cs"/>
          <w:sz w:val="32"/>
          <w:szCs w:val="32"/>
          <w:rtl/>
        </w:rPr>
        <w:t>:</w:t>
      </w:r>
      <w:r>
        <w:rPr>
          <w:rFonts w:cs="Mitra" w:hint="cs"/>
          <w:sz w:val="32"/>
          <w:szCs w:val="32"/>
          <w:rtl/>
        </w:rPr>
        <w:t xml:space="preserve"> عوامل خطر آفرين اوليه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ويژگيهايي هستند كه صرف نظر از عوامل ديگر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ارتباط بالايي</w:t>
      </w:r>
      <w:r>
        <w:rPr>
          <w:rFonts w:cs="Mitra" w:hint="cs"/>
          <w:sz w:val="32"/>
          <w:szCs w:val="32"/>
          <w:rtl/>
        </w:rPr>
        <w:t xml:space="preserve"> با بيماريهاي خاصي مانند بيماري قلبي دارند ؛ براي مثال استعمال دخانيات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صرف نظر از هر عامل ديگر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شخص را در معرض خطر بالاي ابتلا به بيماري قلبي قرار مي دهد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از سوي ديگر عوامل خطر آفرين ثانويه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وقتي با عوامل ديگر همراه مي شوند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بيماري را بوجود مي آورند </w:t>
      </w:r>
      <w:r>
        <w:rPr>
          <w:rFonts w:cs="Mitra" w:hint="cs"/>
          <w:sz w:val="32"/>
          <w:szCs w:val="32"/>
          <w:rtl/>
        </w:rPr>
        <w:t>؛ براي مثال فشار رواني اگر همراه با ساير عوامل خطر آفرين باشد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شخص را با خطر بالايي مواجه مي كند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در جدول 2 عوامل خطر آفرين اوليه و ثانويه براي بيماري قلبي مشخص شده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بسياري از اين عوامل را     مي توان با تغيير شيوه زندگي يا رفتار كاهش داد يا حذف كرد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به هر حال سابقه خانوادگي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سن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جنس و نژاد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از عوامل خطر آفريني هستند كه نمي توان آن را تغيير داد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pStyle w:val="Heading5"/>
        <w:rPr>
          <w:rFonts w:hint="cs"/>
          <w:rtl/>
        </w:rPr>
      </w:pPr>
      <w:r>
        <w:rPr>
          <w:rFonts w:hint="cs"/>
          <w:rtl/>
        </w:rPr>
        <w:t xml:space="preserve">جدول 2 عوامل خطر آفرين اوليه و ثانويه براي بيماري قلبي </w:t>
      </w:r>
    </w:p>
    <w:tbl>
      <w:tblPr>
        <w:bidiVisual/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5400"/>
      </w:tblGrid>
      <w:tr w:rsidR="0028067C" w:rsidTr="0028067C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28067C" w:rsidRDefault="0028067C">
            <w:pPr>
              <w:pStyle w:val="Heading2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اوليه </w:t>
            </w:r>
          </w:p>
        </w:tc>
        <w:tc>
          <w:tcPr>
            <w:tcW w:w="5400" w:type="dxa"/>
          </w:tcPr>
          <w:p w:rsidR="0028067C" w:rsidRDefault="0028067C">
            <w:pPr>
              <w:pStyle w:val="Heading2"/>
              <w:rPr>
                <w:rFonts w:hint="cs"/>
              </w:rPr>
            </w:pPr>
            <w:r>
              <w:rPr>
                <w:rFonts w:hint="cs"/>
                <w:rtl/>
              </w:rPr>
              <w:t xml:space="preserve">ثانويه </w:t>
            </w:r>
          </w:p>
        </w:tc>
      </w:tr>
      <w:tr w:rsidR="0028067C" w:rsidTr="0028067C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28067C" w:rsidRDefault="0028067C">
            <w:pPr>
              <w:pStyle w:val="Heading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استعمال دخانيات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بالا بودن كلسترول تام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بالا بودن ليپو پروتئين كلسترول سبك ( </w:t>
            </w:r>
            <w:r>
              <w:rPr>
                <w:rFonts w:cs="Mitra"/>
                <w:sz w:val="32"/>
                <w:szCs w:val="32"/>
              </w:rPr>
              <w:t>LDL</w:t>
            </w:r>
            <w:r>
              <w:rPr>
                <w:rFonts w:cs="Mitra" w:hint="cs"/>
                <w:sz w:val="32"/>
                <w:szCs w:val="32"/>
                <w:rtl/>
              </w:rPr>
              <w:t xml:space="preserve"> )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پايين بودن ليپو پروتئين كلسترول سنگين ( </w:t>
            </w:r>
            <w:r>
              <w:rPr>
                <w:rFonts w:cs="Mitra"/>
                <w:sz w:val="32"/>
                <w:szCs w:val="32"/>
              </w:rPr>
              <w:t>HDL</w:t>
            </w:r>
            <w:r>
              <w:rPr>
                <w:rFonts w:cs="Mitra" w:hint="cs"/>
                <w:sz w:val="32"/>
                <w:szCs w:val="32"/>
                <w:rtl/>
              </w:rPr>
              <w:t xml:space="preserve"> )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بالا بودن فشار خون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بي تحركي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پايين بودن آمادگي قلبي ـ تنفسي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ديابت </w:t>
            </w:r>
          </w:p>
        </w:tc>
        <w:tc>
          <w:tcPr>
            <w:tcW w:w="5400" w:type="dxa"/>
          </w:tcPr>
          <w:p w:rsidR="0028067C" w:rsidRDefault="0028067C">
            <w:pPr>
              <w:pStyle w:val="Heading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چاقي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بالا بودن ليپو پروتئين كلسترول بسيار سبك ( </w:t>
            </w:r>
            <w:r>
              <w:rPr>
                <w:rFonts w:cs="Mitra"/>
                <w:sz w:val="32"/>
                <w:szCs w:val="32"/>
              </w:rPr>
              <w:t>VLDL</w:t>
            </w:r>
            <w:r>
              <w:rPr>
                <w:rFonts w:cs="Mitra" w:hint="cs"/>
                <w:sz w:val="32"/>
                <w:szCs w:val="32"/>
                <w:rtl/>
              </w:rPr>
              <w:t xml:space="preserve"> )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ناتواني در مقابله با فشار رواني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كهولت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نژاد آفريقايي ـ آمريكايي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مرد بودن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سابقه خانوادگي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رژيم پر چربي </w:t>
            </w:r>
          </w:p>
          <w:p w:rsidR="0028067C" w:rsidRDefault="0028067C">
            <w:pPr>
              <w:bidi/>
              <w:spacing w:line="288" w:lineRule="auto"/>
              <w:jc w:val="both"/>
              <w:rPr>
                <w:rFonts w:cs="Mitra" w:hint="cs"/>
                <w:sz w:val="32"/>
                <w:szCs w:val="32"/>
                <w:rtl/>
              </w:rPr>
            </w:pPr>
            <w:r>
              <w:rPr>
                <w:rFonts w:cs="Mitra" w:hint="cs"/>
                <w:sz w:val="32"/>
                <w:szCs w:val="32"/>
                <w:rtl/>
              </w:rPr>
              <w:t xml:space="preserve">فيبرينوژن بالا </w:t>
            </w:r>
          </w:p>
        </w:tc>
      </w:tr>
    </w:tbl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</w:p>
    <w:p w:rsidR="00000000" w:rsidRDefault="00591D9F">
      <w:pPr>
        <w:pStyle w:val="Heading1"/>
        <w:rPr>
          <w:rFonts w:hint="cs"/>
          <w:rtl/>
        </w:rPr>
      </w:pPr>
      <w:r>
        <w:rPr>
          <w:rFonts w:hint="cs"/>
          <w:rtl/>
        </w:rPr>
        <w:t xml:space="preserve">كشش و رگ به رگ شدن </w:t>
      </w:r>
    </w:p>
    <w:p w:rsidR="00000000" w:rsidRDefault="00591D9F" w:rsidP="0080031D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b/>
          <w:bCs/>
          <w:sz w:val="32"/>
          <w:szCs w:val="32"/>
          <w:rtl/>
        </w:rPr>
        <w:t xml:space="preserve">     </w:t>
      </w:r>
      <w:r>
        <w:rPr>
          <w:rFonts w:cs="Mitra" w:hint="cs"/>
          <w:sz w:val="32"/>
          <w:szCs w:val="32"/>
          <w:rtl/>
        </w:rPr>
        <w:t>كششها و رگ به رگ شدنها بر حسب شدت آسيب به سه درجه تقسيم مي شوند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كشش </w:t>
      </w:r>
      <w:r>
        <w:rPr>
          <w:rFonts w:cs="Mitra" w:hint="cs"/>
          <w:sz w:val="32"/>
          <w:szCs w:val="32"/>
          <w:rtl/>
        </w:rPr>
        <w:t>(</w:t>
      </w:r>
      <w:r>
        <w:rPr>
          <w:rFonts w:cs="Mitra"/>
          <w:sz w:val="32"/>
          <w:szCs w:val="32"/>
        </w:rPr>
        <w:t>Strain</w:t>
      </w:r>
      <w:r>
        <w:rPr>
          <w:rFonts w:cs="Mitra" w:hint="cs"/>
          <w:sz w:val="32"/>
          <w:szCs w:val="32"/>
          <w:rtl/>
        </w:rPr>
        <w:t>) آسيبي است كه با واحد عضله ـ تاندون وارد مي شود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رگ به رگ شدن ( </w:t>
      </w:r>
      <w:r>
        <w:rPr>
          <w:rFonts w:cs="Mitra"/>
          <w:sz w:val="32"/>
          <w:szCs w:val="32"/>
        </w:rPr>
        <w:t>Sprain</w:t>
      </w:r>
      <w:r>
        <w:rPr>
          <w:rFonts w:cs="Mitra" w:hint="cs"/>
          <w:sz w:val="32"/>
          <w:szCs w:val="32"/>
          <w:rtl/>
        </w:rPr>
        <w:t xml:space="preserve"> ) آسيب است كه</w:t>
      </w:r>
      <w:r>
        <w:rPr>
          <w:rFonts w:cs="Mitra" w:hint="cs"/>
          <w:sz w:val="32"/>
          <w:szCs w:val="32"/>
          <w:rtl/>
        </w:rPr>
        <w:t xml:space="preserve"> اختصاصا ليگامانها را درگير مي كند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هر دو آنها اگر ناشي از آسيب كششي ملايمي باشند كه موجب خونريزي نشود درجه 1 تلقي مي شوند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پارگي مختصر همراه با ورم و درد موضعي و كاهش عملكرد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درجه 2 محسوب مي شود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بر حسب نوع ورزش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ورزشكار مبتلا به آسيب درجه 1 يا 2 مي </w:t>
      </w:r>
      <w:r>
        <w:rPr>
          <w:rFonts w:cs="Mitra" w:hint="cs"/>
          <w:sz w:val="32"/>
          <w:szCs w:val="32"/>
          <w:rtl/>
        </w:rPr>
        <w:t xml:space="preserve">تواند با </w:t>
      </w:r>
      <w:r>
        <w:rPr>
          <w:rFonts w:cs="Mitra" w:hint="cs"/>
          <w:sz w:val="32"/>
          <w:szCs w:val="32"/>
          <w:rtl/>
        </w:rPr>
        <w:lastRenderedPageBreak/>
        <w:t>حمايت ناحيه آسيب توسط بانداژ كشي يا نواري به بازي برگردد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رگ به رگ شدگي درجه 3 به قطع كامل ليگامان اطلاق مي شود و كشش درجه 3 به قطع يا پارگي واحد عضله ـ تاندون گفته مي شود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ورم ممكن است مختصر باشد اما خونريزي مي تواند به بافتهاي نرم اطراف نفوذ ك</w:t>
      </w:r>
      <w:r>
        <w:rPr>
          <w:rFonts w:cs="Mitra" w:hint="cs"/>
          <w:sz w:val="32"/>
          <w:szCs w:val="32"/>
          <w:rtl/>
        </w:rPr>
        <w:t>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ممكن است بدليل باز شدن صفحه رشد استخوان يا قطع ليگامان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تحرك بيش از حد در ناحيه ديده شود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از ناحيه صدمه ديده بايد در حال ارتس گرافي تهيه شود و به دنبال آن ممكن است ترميم جراحي لازم گردد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pStyle w:val="Heading1"/>
        <w:rPr>
          <w:rFonts w:hint="cs"/>
          <w:rtl/>
        </w:rPr>
      </w:pPr>
      <w:r>
        <w:rPr>
          <w:rFonts w:hint="cs"/>
          <w:rtl/>
        </w:rPr>
        <w:t xml:space="preserve">آسيبهاي اعصاب و نخاع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آسيب اعصاب نوعي ديگر از صدمات است </w:t>
      </w:r>
      <w:r>
        <w:rPr>
          <w:rFonts w:cs="Mitra" w:hint="cs"/>
          <w:sz w:val="32"/>
          <w:szCs w:val="32"/>
          <w:rtl/>
        </w:rPr>
        <w:t>كه نياز به توجه فوري دارد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كشيدگي شبكه بازويي در فوتبال و آسيب ضربه اي به عصب اولنار از صدمات عصبي شايعند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در شكستگيها و دررفتگيها ممكن است اعصاب ناحيه آسيب ببيند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مثالهاي شايع آن آسيب عصب آگزيلاري در دررفتگيهاي شانه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عصب مديان در دررفتگيهاي آرنج و يا </w:t>
      </w:r>
      <w:r>
        <w:rPr>
          <w:rFonts w:cs="Mitra" w:hint="cs"/>
          <w:sz w:val="32"/>
          <w:szCs w:val="32"/>
          <w:rtl/>
        </w:rPr>
        <w:t>عصب پروتئان در شكستگيهاي فيبولا هستند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 اگر چه صدمات ستون فقرات گردني نادرند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اما شايعترين علت ناتواني شديد متعاقب صدمات ورزشي هستند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در حال حاضر هيچ وسيله اي وجود ندارد كه محافظت كافي از ستون مهره ها را ضمانت كند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خطر اين صدمات با پرهيز از قرار گ</w:t>
      </w:r>
      <w:r>
        <w:rPr>
          <w:rFonts w:cs="Mitra" w:hint="cs"/>
          <w:sz w:val="32"/>
          <w:szCs w:val="32"/>
          <w:rtl/>
        </w:rPr>
        <w:t>رفتن در موقعيتهاي خطر آفرين كم مي شود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ستون فقرات گردني در تمام ورزشهاي تصادمي مي تواند آسيب ببيند و به نظر مي رسد بهترين محافظت در برابر اين صدمات عضلات قوي گردن باشد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به منظور پرهيز از موقعيتهاي خطر آفرين كودكان نيازمند راهنمايي و تشويق به ورزشهاي پياد</w:t>
      </w:r>
      <w:r>
        <w:rPr>
          <w:rFonts w:cs="Mitra" w:hint="cs"/>
          <w:sz w:val="32"/>
          <w:szCs w:val="32"/>
          <w:rtl/>
        </w:rPr>
        <w:t>ه و دوچرخه سواري و آگاهي و هشدار نسبت به خطرات موتور سيكلت و وسايل نقليه هستند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علاوه بر اين آموزش صحيح تكنيكها و استفاده مناسب از وسايل از بروز صدمات نخاعي خواهد كاست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 صدمات گردن نسبتا شايع است بنابراين كسب دانش و تبحر لازم در كنترل صدمات اين ناحي</w:t>
      </w:r>
      <w:r>
        <w:rPr>
          <w:rFonts w:cs="Mitra" w:hint="cs"/>
          <w:sz w:val="32"/>
          <w:szCs w:val="32"/>
          <w:rtl/>
        </w:rPr>
        <w:t>ه ضروري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علائم صدمات نخاعي عبارتند از</w:t>
      </w:r>
      <w:r w:rsidR="0080031D">
        <w:rPr>
          <w:rFonts w:cs="Mitra" w:hint="cs"/>
          <w:sz w:val="32"/>
          <w:szCs w:val="32"/>
          <w:rtl/>
        </w:rPr>
        <w:t>:</w:t>
      </w:r>
      <w:r>
        <w:rPr>
          <w:rFonts w:cs="Mitra" w:hint="cs"/>
          <w:sz w:val="32"/>
          <w:szCs w:val="32"/>
          <w:rtl/>
        </w:rPr>
        <w:t xml:space="preserve"> درد همراه با حركت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حساسيت روي ستون مهره ها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تغيير شكل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اختلال تنفس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فقدان حركت ارادي بازو و پا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فقدان حس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فقدان كنترل مثانه و روده و شوك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درمان بايد مشتمل بر پرهيز از حركت دادن گردن و تثبيت كافي آن باشد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pStyle w:val="Heading1"/>
        <w:rPr>
          <w:rFonts w:hint="cs"/>
          <w:rtl/>
        </w:rPr>
      </w:pPr>
      <w:r>
        <w:rPr>
          <w:rFonts w:hint="cs"/>
          <w:rtl/>
        </w:rPr>
        <w:t xml:space="preserve">اختلالات مچ </w:t>
      </w:r>
    </w:p>
    <w:p w:rsidR="00000000" w:rsidRDefault="00591D9F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 آسيب شايع مچ شكستگي استخوان اسكاتوئيد است كه معمولا ورزشكار روي دستهاي حائل شده و باز به زمين مي افتد رخ ميدهد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اسكافوئيد در مجاورت نوك نيزه اي با راديوس قرار دارد و در اثر افتادن روي دست اين استخوان باراديوس لب به لب واقع مي شود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شكا</w:t>
      </w:r>
      <w:r>
        <w:rPr>
          <w:rFonts w:cs="Mitra" w:hint="cs"/>
          <w:sz w:val="32"/>
          <w:szCs w:val="32"/>
          <w:rtl/>
        </w:rPr>
        <w:t xml:space="preserve">يت از درد در لمس انفيه دان تشريحي </w:t>
      </w:r>
      <w:r>
        <w:rPr>
          <w:rFonts w:cs="Mitra" w:hint="cs"/>
          <w:sz w:val="32"/>
          <w:szCs w:val="32"/>
          <w:rtl/>
        </w:rPr>
        <w:lastRenderedPageBreak/>
        <w:t>يا وقتي كودك دست خود را مشت مي كند وجود دارد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درمان شامل گچ گرفتن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به دليل تغذيه خوني ضعيف ناحيه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عوارض ثانويه از جمله جوش نخوردن يا نكروز او اسكولار ممكن است رخ دهد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پس از باز كردن گچ در صورت ادامه رقابت ها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دست </w:t>
      </w:r>
      <w:r>
        <w:rPr>
          <w:rFonts w:cs="Mitra" w:hint="cs"/>
          <w:sz w:val="32"/>
          <w:szCs w:val="32"/>
          <w:rtl/>
        </w:rPr>
        <w:t>ورزشكار بايد توسط آتل در مقابل آسيب مجدد محافظت شود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در ادامه درمان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حركت دادن و كشش بايد انجام گيرد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000000" w:rsidRDefault="00591D9F">
      <w:pPr>
        <w:pStyle w:val="Heading1"/>
        <w:rPr>
          <w:rFonts w:hint="cs"/>
          <w:rtl/>
        </w:rPr>
      </w:pPr>
      <w:r>
        <w:rPr>
          <w:rFonts w:hint="cs"/>
          <w:rtl/>
        </w:rPr>
        <w:t xml:space="preserve">كمردرد </w:t>
      </w:r>
    </w:p>
    <w:p w:rsidR="00000000" w:rsidRDefault="00591D9F" w:rsidP="0080031D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 xml:space="preserve">     كمردرد در ورزشكاران و غير ورزشكاران هر دو شايع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در جمعيت ورزشكار علت كمردرد آسيب مزمن ساختارهاي ليگاماني يا عضلاني</w:t>
      </w:r>
      <w:r w:rsidR="0080031D">
        <w:rPr>
          <w:rFonts w:cs="Mitra" w:hint="cs"/>
          <w:sz w:val="32"/>
          <w:szCs w:val="32"/>
          <w:rtl/>
        </w:rPr>
        <w:t>،</w:t>
      </w:r>
      <w:bookmarkStart w:id="0" w:name="_GoBack"/>
      <w:bookmarkEnd w:id="0"/>
      <w:r>
        <w:rPr>
          <w:rFonts w:cs="Mitra" w:hint="cs"/>
          <w:sz w:val="32"/>
          <w:szCs w:val="32"/>
          <w:rtl/>
        </w:rPr>
        <w:t xml:space="preserve"> تاندوني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كمردرد اغلب مربوط به انحناي بيش از حد </w:t>
      </w:r>
      <w:r>
        <w:rPr>
          <w:rFonts w:cs="Mitra" w:hint="cs"/>
          <w:sz w:val="32"/>
          <w:szCs w:val="32"/>
          <w:rtl/>
        </w:rPr>
        <w:t>(</w:t>
      </w:r>
      <w:proofErr w:type="spellStart"/>
      <w:r>
        <w:rPr>
          <w:rFonts w:cs="Mitra"/>
          <w:sz w:val="32"/>
          <w:szCs w:val="32"/>
        </w:rPr>
        <w:t>Hyperfordosis</w:t>
      </w:r>
      <w:proofErr w:type="spellEnd"/>
      <w:r>
        <w:rPr>
          <w:rFonts w:cs="Mitra" w:hint="cs"/>
          <w:sz w:val="32"/>
          <w:szCs w:val="32"/>
          <w:rtl/>
        </w:rPr>
        <w:t xml:space="preserve"> ) نخاع است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بسياري از ورزشكاران در نواحي كمر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كمربند لگني و عضلات خلف ران</w:t>
      </w:r>
      <w:r w:rsidR="0080031D">
        <w:rPr>
          <w:rFonts w:cs="Mitra" w:hint="cs"/>
          <w:sz w:val="32"/>
          <w:szCs w:val="32"/>
          <w:rtl/>
        </w:rPr>
        <w:t>،</w:t>
      </w:r>
      <w:r>
        <w:rPr>
          <w:rFonts w:cs="Mitra" w:hint="cs"/>
          <w:sz w:val="32"/>
          <w:szCs w:val="32"/>
          <w:rtl/>
        </w:rPr>
        <w:t xml:space="preserve"> عضلات محكمي دارند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همچنين عضلات شكمي و فلكسورهاي هيپ ممكن است ضعيف باشند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كشش عضلات با ورزشهاي شكمي و از جمله حركات</w:t>
      </w:r>
      <w:r>
        <w:rPr>
          <w:rFonts w:cs="Mitra" w:hint="cs"/>
          <w:sz w:val="32"/>
          <w:szCs w:val="32"/>
          <w:rtl/>
        </w:rPr>
        <w:t xml:space="preserve"> يك طرفه لگن و كشش فلكسورهاي هيپ مي تواند در درمان مشكلات كمر مفيد باشد</w:t>
      </w:r>
      <w:r w:rsidR="0080031D">
        <w:rPr>
          <w:rFonts w:cs="Mitra" w:hint="cs"/>
          <w:sz w:val="32"/>
          <w:szCs w:val="32"/>
          <w:rtl/>
        </w:rPr>
        <w:t>.</w:t>
      </w:r>
      <w:r>
        <w:rPr>
          <w:rFonts w:cs="Mitra" w:hint="cs"/>
          <w:sz w:val="32"/>
          <w:szCs w:val="32"/>
          <w:rtl/>
        </w:rPr>
        <w:t xml:space="preserve"> </w:t>
      </w:r>
    </w:p>
    <w:p w:rsidR="00591D9F" w:rsidRDefault="0028067C">
      <w:pPr>
        <w:bidi/>
        <w:spacing w:line="288" w:lineRule="auto"/>
        <w:jc w:val="both"/>
        <w:rPr>
          <w:rFonts w:cs="Mitra" w:hint="cs"/>
          <w:sz w:val="32"/>
          <w:szCs w:val="32"/>
          <w:rtl/>
        </w:rPr>
      </w:pPr>
      <w:r>
        <w:rPr>
          <w:rFonts w:cs="Mitra"/>
          <w:noProof/>
          <w:sz w:val="20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7CE46" wp14:editId="5FF10B79">
                <wp:simplePos x="0" y="0"/>
                <wp:positionH relativeFrom="column">
                  <wp:posOffset>2743200</wp:posOffset>
                </wp:positionH>
                <wp:positionV relativeFrom="paragraph">
                  <wp:posOffset>6648450</wp:posOffset>
                </wp:positionV>
                <wp:extent cx="571500" cy="457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91D9F">
                            <w:pPr>
                              <w:pStyle w:val="Heading5"/>
                              <w:spacing w:line="240" w:lineRule="auto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in;margin-top:523.5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" stroked="f">
                <v:textbox>
                  <w:txbxContent>
                    <w:p w:rsidR="00000000" w:rsidRDefault="00591D9F">
                      <w:pPr>
                        <w:pStyle w:val="Heading5"/>
                        <w:spacing w:line="240" w:lineRule="auto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91D9F">
        <w:rPr>
          <w:rFonts w:cs="Mitra" w:hint="cs"/>
          <w:sz w:val="32"/>
          <w:szCs w:val="32"/>
          <w:rtl/>
        </w:rPr>
        <w:t xml:space="preserve">          </w:t>
      </w:r>
    </w:p>
    <w:sectPr w:rsidR="00591D9F" w:rsidSect="00FF6A1B">
      <w:pgSz w:w="11909" w:h="16834" w:code="9"/>
      <w:pgMar w:top="1260" w:right="1469" w:bottom="1260" w:left="1440" w:header="720" w:footer="60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9F" w:rsidRDefault="00591D9F" w:rsidP="00FF6A1B">
      <w:r>
        <w:separator/>
      </w:r>
    </w:p>
  </w:endnote>
  <w:endnote w:type="continuationSeparator" w:id="0">
    <w:p w:rsidR="00591D9F" w:rsidRDefault="00591D9F" w:rsidP="00FF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rtl/>
      </w:rPr>
      <w:id w:val="-202100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6A1B" w:rsidRPr="00FF6A1B" w:rsidRDefault="00FF6A1B" w:rsidP="00FF6A1B">
        <w:pPr>
          <w:pStyle w:val="Footer"/>
          <w:bidi/>
          <w:jc w:val="center"/>
          <w:rPr>
            <w:rFonts w:cs="B Nazanin"/>
          </w:rPr>
        </w:pPr>
        <w:r w:rsidRPr="00FF6A1B">
          <w:rPr>
            <w:rFonts w:cs="B Nazanin"/>
          </w:rPr>
          <w:fldChar w:fldCharType="begin"/>
        </w:r>
        <w:r w:rsidRPr="00FF6A1B">
          <w:rPr>
            <w:rFonts w:cs="B Nazanin"/>
          </w:rPr>
          <w:instrText xml:space="preserve"> PAGE   \* MERGEFORMAT </w:instrText>
        </w:r>
        <w:r w:rsidRPr="00FF6A1B">
          <w:rPr>
            <w:rFonts w:cs="B Nazanin"/>
          </w:rPr>
          <w:fldChar w:fldCharType="separate"/>
        </w:r>
        <w:r w:rsidR="0080031D">
          <w:rPr>
            <w:rFonts w:cs="B Nazanin"/>
            <w:noProof/>
            <w:rtl/>
          </w:rPr>
          <w:t>6</w:t>
        </w:r>
        <w:r w:rsidRPr="00FF6A1B">
          <w:rPr>
            <w:rFonts w:cs="B Nazanin"/>
            <w:noProof/>
          </w:rPr>
          <w:fldChar w:fldCharType="end"/>
        </w:r>
      </w:p>
    </w:sdtContent>
  </w:sdt>
  <w:p w:rsidR="00FF6A1B" w:rsidRPr="00FF6A1B" w:rsidRDefault="00FF6A1B" w:rsidP="00FF6A1B">
    <w:pPr>
      <w:pStyle w:val="Footer"/>
      <w:bidi/>
      <w:rPr>
        <w:rFonts w:cs="B Nazan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9F" w:rsidRDefault="00591D9F" w:rsidP="00FF6A1B">
      <w:r>
        <w:separator/>
      </w:r>
    </w:p>
  </w:footnote>
  <w:footnote w:type="continuationSeparator" w:id="0">
    <w:p w:rsidR="00591D9F" w:rsidRDefault="00591D9F" w:rsidP="00FF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7C"/>
    <w:rsid w:val="0028067C"/>
    <w:rsid w:val="00591D9F"/>
    <w:rsid w:val="0080031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spacing w:line="288" w:lineRule="auto"/>
      <w:jc w:val="both"/>
      <w:outlineLvl w:val="0"/>
    </w:pPr>
    <w:rPr>
      <w:rFonts w:cs="Mitra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spacing w:line="288" w:lineRule="auto"/>
      <w:jc w:val="center"/>
      <w:outlineLvl w:val="1"/>
    </w:pPr>
    <w:rPr>
      <w:rFonts w:cs="Mitra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bidi/>
      <w:spacing w:line="288" w:lineRule="auto"/>
      <w:jc w:val="both"/>
      <w:outlineLvl w:val="2"/>
    </w:pPr>
    <w:rPr>
      <w:rFonts w:cs="Mitra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bidi/>
      <w:jc w:val="both"/>
      <w:outlineLvl w:val="3"/>
    </w:pPr>
    <w:rPr>
      <w:rFonts w:cs="Mitra"/>
      <w:sz w:val="32"/>
      <w:szCs w:val="28"/>
    </w:rPr>
  </w:style>
  <w:style w:type="paragraph" w:styleId="Heading5">
    <w:name w:val="heading 5"/>
    <w:basedOn w:val="Normal"/>
    <w:next w:val="Normal"/>
    <w:qFormat/>
    <w:pPr>
      <w:keepNext/>
      <w:bidi/>
      <w:spacing w:line="288" w:lineRule="auto"/>
      <w:jc w:val="center"/>
      <w:outlineLvl w:val="4"/>
    </w:pPr>
    <w:rPr>
      <w:rFonts w:cs="Mitra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A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6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A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spacing w:line="288" w:lineRule="auto"/>
      <w:jc w:val="both"/>
      <w:outlineLvl w:val="0"/>
    </w:pPr>
    <w:rPr>
      <w:rFonts w:cs="Mitra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spacing w:line="288" w:lineRule="auto"/>
      <w:jc w:val="center"/>
      <w:outlineLvl w:val="1"/>
    </w:pPr>
    <w:rPr>
      <w:rFonts w:cs="Mitra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bidi/>
      <w:spacing w:line="288" w:lineRule="auto"/>
      <w:jc w:val="both"/>
      <w:outlineLvl w:val="2"/>
    </w:pPr>
    <w:rPr>
      <w:rFonts w:cs="Mitra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bidi/>
      <w:jc w:val="both"/>
      <w:outlineLvl w:val="3"/>
    </w:pPr>
    <w:rPr>
      <w:rFonts w:cs="Mitra"/>
      <w:sz w:val="32"/>
      <w:szCs w:val="28"/>
    </w:rPr>
  </w:style>
  <w:style w:type="paragraph" w:styleId="Heading5">
    <w:name w:val="heading 5"/>
    <w:basedOn w:val="Normal"/>
    <w:next w:val="Normal"/>
    <w:qFormat/>
    <w:pPr>
      <w:keepNext/>
      <w:bidi/>
      <w:spacing w:line="288" w:lineRule="auto"/>
      <w:jc w:val="center"/>
      <w:outlineLvl w:val="4"/>
    </w:pPr>
    <w:rPr>
      <w:rFonts w:cs="Mitra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A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6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A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300C-F1F3-4FF0-9DD9-B4FB2C00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آشنايي با مفاهيم عمومي در زمينه آمادگي جسماني و تندرستي </vt:lpstr>
    </vt:vector>
  </TitlesOfParts>
  <Company>LITE-ON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آشنايي با مفاهيم عمومي در زمينه آمادگي جسماني و تندرستي</dc:title>
  <dc:creator>Behnam</dc:creator>
  <cp:lastModifiedBy>Behnam Rayaneh</cp:lastModifiedBy>
  <cp:revision>4</cp:revision>
  <dcterms:created xsi:type="dcterms:W3CDTF">2021-05-09T06:50:00Z</dcterms:created>
  <dcterms:modified xsi:type="dcterms:W3CDTF">2021-05-09T06:59:00Z</dcterms:modified>
</cp:coreProperties>
</file>